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668"/>
        <w:gridCol w:w="8190"/>
      </w:tblGrid>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8"/>
                <w:szCs w:val="28"/>
                <w:u w:val="none"/>
                <w:lang w:eastAsia="zh-CN"/>
              </w:rPr>
            </w:pPr>
            <w:r>
              <w:rPr>
                <w:rFonts w:hint="eastAsia" w:ascii="宋体" w:hAnsi="宋体" w:eastAsia="宋体"/>
                <w:b/>
                <w:i w:val="0"/>
                <w:color w:val="000000"/>
                <w:sz w:val="28"/>
                <w:szCs w:val="28"/>
                <w:u w:val="none"/>
                <w:lang w:eastAsia="zh-CN"/>
              </w:rPr>
              <w:t>序号</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8"/>
                <w:szCs w:val="28"/>
                <w:u w:val="none"/>
                <w:lang w:eastAsia="zh-CN"/>
              </w:rPr>
            </w:pPr>
            <w:r>
              <w:rPr>
                <w:rFonts w:hint="eastAsia" w:ascii="宋体" w:hAnsi="宋体" w:eastAsia="宋体"/>
                <w:b/>
                <w:i w:val="0"/>
                <w:color w:val="000000"/>
                <w:sz w:val="28"/>
                <w:szCs w:val="28"/>
                <w:u w:val="none"/>
                <w:lang w:val="en-US" w:eastAsia="zh-CN"/>
              </w:rPr>
              <w:t>2020年博士</w:t>
            </w:r>
            <w:r>
              <w:rPr>
                <w:rFonts w:hint="eastAsia" w:ascii="宋体" w:hAnsi="宋体"/>
                <w:b/>
                <w:i w:val="0"/>
                <w:color w:val="000000"/>
                <w:sz w:val="28"/>
                <w:szCs w:val="28"/>
                <w:u w:val="none"/>
                <w:lang w:val="en-US" w:eastAsia="zh-CN"/>
              </w:rPr>
              <w:t>生复试</w:t>
            </w:r>
            <w:r>
              <w:rPr>
                <w:rFonts w:hint="eastAsia" w:ascii="宋体" w:hAnsi="宋体" w:eastAsia="宋体"/>
                <w:b/>
                <w:i w:val="0"/>
                <w:color w:val="000000"/>
                <w:sz w:val="28"/>
                <w:szCs w:val="28"/>
                <w:u w:val="none"/>
                <w:lang w:val="en-US" w:eastAsia="zh-CN"/>
              </w:rPr>
              <w:t>考核</w:t>
            </w:r>
            <w:r>
              <w:rPr>
                <w:rFonts w:hint="default" w:ascii="宋体" w:hAnsi="宋体" w:eastAsia="宋体"/>
                <w:b/>
                <w:i w:val="0"/>
                <w:color w:val="000000"/>
                <w:sz w:val="28"/>
                <w:szCs w:val="28"/>
                <w:u w:val="none"/>
                <w:lang w:eastAsia="zh-CN"/>
              </w:rPr>
              <w:t>科研课题</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免疫系统的化学调控</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2</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慢性乙型肝炎的治疗性抗体研究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3</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放射性药物与核医学分子影像</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4</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浅谈癌症微创介入诊疗关键技术及临床应用关键科学问题</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5</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肿瘤精准诊疗分子影像研究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6</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新型冠状病毒疫苗研发进展及面临的主要问题；</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7</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水痘带状疱疹病毒疫苗研发进展及面临的主要问题；</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8</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“统计学方法与老年健康”</w:t>
            </w:r>
            <w:r>
              <w:rPr>
                <w:rFonts w:hint="eastAsia" w:ascii="宋体" w:hAnsi="宋体" w:eastAsia="宋体"/>
                <w:b w:val="0"/>
                <w:i w:val="0"/>
                <w:color w:val="000000"/>
                <w:sz w:val="28"/>
                <w:szCs w:val="28"/>
                <w:u w:val="none"/>
                <w:lang w:val="en-US" w:eastAsia="zh-CN"/>
              </w:rPr>
              <w:t>(也可</w:t>
            </w:r>
            <w:r>
              <w:rPr>
                <w:rFonts w:hint="default" w:ascii="宋体" w:hAnsi="宋体" w:eastAsia="宋体"/>
                <w:b w:val="0"/>
                <w:i w:val="0"/>
                <w:color w:val="000000"/>
                <w:sz w:val="28"/>
                <w:szCs w:val="28"/>
                <w:u w:val="none"/>
                <w:lang w:eastAsia="zh-CN"/>
              </w:rPr>
              <w:t>根据自己的研究基础和特长拟定课题名称</w:t>
            </w:r>
            <w:r>
              <w:rPr>
                <w:rFonts w:hint="eastAsia" w:ascii="宋体" w:hAnsi="宋体" w:eastAsia="宋体"/>
                <w:b w:val="0"/>
                <w:i w:val="0"/>
                <w:color w:val="000000"/>
                <w:sz w:val="28"/>
                <w:szCs w:val="28"/>
                <w:u w:val="none"/>
                <w:lang w:val="en-US" w:eastAsia="zh-CN"/>
              </w:rPr>
              <w:t>)</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9</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外泌体与疾病诊断研究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10</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肿瘤mRNA疫苗研究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11</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针对临床肿瘤治疗手段化疗、放疗等手段存在毒性高的问题，如何实现减毒增效治疗？</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12</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请根据脑肿瘤的发生演进过程，设计高分辨光学成像技术进行早期检测和长时效监控。</w:t>
            </w:r>
          </w:p>
        </w:tc>
      </w:tr>
      <w:tr>
        <w:trPr>
          <w:trHeight w:val="285" w:hRule="atLeast"/>
        </w:trPr>
        <w:tc>
          <w:tcPr>
            <w:tcW w:w="668"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13</w:t>
            </w:r>
          </w:p>
        </w:tc>
        <w:tc>
          <w:tcPr>
            <w:tcW w:w="8190" w:type="dxa"/>
            <w:tcBorders>
              <w:top w:val="single" w:color="000000" w:sz="4" w:space="0"/>
              <w:left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1.《免疫代谢调控介导肝毒性和细胞恶性转化的分子机制研究》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14</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2.《溶酶体信号通路介导神经毒性及其靶向干预的分子机制研究》。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15</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基于Env三聚体的HIV-1免疫原设计及疫苗研究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16</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新型冠状病毒基因工程疫苗研究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17</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人乳头瘤病毒受体的筛选与鉴定</w:t>
            </w:r>
          </w:p>
        </w:tc>
      </w:tr>
      <w:tr>
        <w:trPr>
          <w:trHeight w:val="285" w:hRule="atLeast"/>
        </w:trPr>
        <w:tc>
          <w:tcPr>
            <w:tcW w:w="668"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18</w:t>
            </w:r>
          </w:p>
        </w:tc>
        <w:tc>
          <w:tcPr>
            <w:tcW w:w="8190" w:type="dxa"/>
            <w:tcBorders>
              <w:top w:val="single" w:color="000000" w:sz="4" w:space="0"/>
              <w:left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基于新型疱疹病毒的溶瘤病毒治疗机制研究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19</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利用原发肿瘤小鼠模型研究肿瘤免疫微环境的动态变化和影响免疫治疗有效性的探索</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20</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抗HBV新型纳米抗体及免疫耐受机制研究</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21</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单克隆抗体体外定向进化系统的研究探索</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22</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抗生素耐受与细菌凋亡的共有分子机制， 参考文献：1. Y. Hong, J. Zeng, X. Wang, K. Drlica and X. Zhao* (2019). Post-stress bacterial cell death mediated by reactive oxygen species. Proc. Natl. Acad. Sci. U.S.A. 116 (20): 10064-10071。2. Y Hong, L Li, G Luan, K Drlica, X Zhao* (2017). Contribution of reactive oxygen species to thymineless death in Escherichia coli.  Nature microbiology 2 (12), 1667。 </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val="en-US" w:eastAsia="zh-CN"/>
              </w:rPr>
            </w:pPr>
            <w:r>
              <w:rPr>
                <w:rFonts w:hint="eastAsia" w:ascii="宋体" w:hAnsi="宋体" w:eastAsia="宋体"/>
                <w:b w:val="0"/>
                <w:i w:val="0"/>
                <w:color w:val="000000"/>
                <w:sz w:val="28"/>
                <w:szCs w:val="28"/>
                <w:u w:val="none"/>
                <w:lang w:val="en-US" w:eastAsia="zh-CN"/>
              </w:rPr>
              <w:t>23</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基于限定的系列文献（Cristiani et al., Eur Respir J 2020, 2000749；Song et al., Pediatric Research, 2012, 71, 13-19; Schwartz, Archives of Pathology and Laboratory Medicine, doi: 10.5858/arpa.2020-0901-SA; Li et al., PLoS ONE 2020, 15 (4):e0230295; Vaarala et al., J Pathol 2001; 193: 134-140），形成一个关联假设，然后设计实验室工作来验证相关假设（限定文献见附件，如要拓展文献阅读，可自行查找）。</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b w:val="0"/>
                <w:i w:val="0"/>
                <w:color w:val="000000"/>
                <w:sz w:val="28"/>
                <w:szCs w:val="28"/>
                <w:u w:val="none"/>
                <w:lang w:val="en-US" w:eastAsia="zh-CN"/>
              </w:rPr>
            </w:pPr>
            <w:r>
              <w:rPr>
                <w:rFonts w:hint="eastAsia" w:ascii="宋体" w:hAnsi="宋体"/>
                <w:b w:val="0"/>
                <w:i w:val="0"/>
                <w:color w:val="000000"/>
                <w:sz w:val="28"/>
                <w:szCs w:val="28"/>
                <w:u w:val="none"/>
                <w:lang w:val="en-US" w:eastAsia="zh-CN"/>
              </w:rPr>
              <w:t>24</w:t>
            </w:r>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“新发突发传染病预测预警及防控措施效果评估”</w:t>
            </w:r>
          </w:p>
        </w:tc>
      </w:tr>
      <w:tr>
        <w:trPr>
          <w:trHeight w:val="28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b w:val="0"/>
                <w:i w:val="0"/>
                <w:color w:val="000000"/>
                <w:sz w:val="28"/>
                <w:szCs w:val="28"/>
                <w:u w:val="none"/>
                <w:lang w:val="en-US" w:eastAsia="zh-CN"/>
              </w:rPr>
            </w:pPr>
            <w:r>
              <w:rPr>
                <w:rFonts w:hint="eastAsia" w:ascii="宋体" w:hAnsi="宋体"/>
                <w:b w:val="0"/>
                <w:i w:val="0"/>
                <w:color w:val="000000"/>
                <w:sz w:val="28"/>
                <w:szCs w:val="28"/>
                <w:u w:val="none"/>
                <w:lang w:val="en-US" w:eastAsia="zh-CN"/>
              </w:rPr>
              <w:t>25</w:t>
            </w:r>
            <w:bookmarkStart w:id="0" w:name="_GoBack"/>
            <w:bookmarkEnd w:id="0"/>
          </w:p>
        </w:tc>
        <w:tc>
          <w:tcPr>
            <w:tcW w:w="8190"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8"/>
                <w:szCs w:val="28"/>
                <w:u w:val="none"/>
                <w:lang w:eastAsia="zh-CN"/>
              </w:rPr>
            </w:pPr>
            <w:r>
              <w:rPr>
                <w:rFonts w:hint="default" w:ascii="宋体" w:hAnsi="宋体" w:eastAsia="宋体"/>
                <w:b w:val="0"/>
                <w:i w:val="0"/>
                <w:color w:val="000000"/>
                <w:sz w:val="28"/>
                <w:szCs w:val="28"/>
                <w:u w:val="none"/>
                <w:lang w:eastAsia="zh-CN"/>
              </w:rPr>
              <w:t>根据磁珠法核酸提取流程，设计核酸提取仪器及其耗材。</w:t>
            </w:r>
          </w:p>
        </w:tc>
      </w:tr>
    </w:tbl>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2020-05-30T05:20:00Z</dcterms:created>
  <cp:lastModifiedBy>Administrator</cp:lastModifiedBy>
  <dcterms:modified xsi:type="dcterms:W3CDTF">2020-06-01T12:10:25Z</dcterms:modified>
  <dc:title>序号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